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E6E3B8">
      <w:pPr>
        <w:pStyle w:val="3"/>
        <w:spacing w:line="600" w:lineRule="exact"/>
        <w:ind w:left="0" w:leftChars="0" w:firstLine="0" w:firstLineChars="0"/>
        <w:jc w:val="center"/>
        <w:rPr>
          <w:rFonts w:ascii="方正大标宋简体" w:eastAsia="方正大标宋简体"/>
          <w:sz w:val="40"/>
          <w:szCs w:val="32"/>
        </w:rPr>
      </w:pPr>
      <w:bookmarkStart w:id="7" w:name="_GoBack"/>
      <w:bookmarkEnd w:id="7"/>
      <w:r>
        <w:rPr>
          <w:rFonts w:hint="eastAsia" w:ascii="方正大标宋简体" w:eastAsia="方正大标宋简体"/>
          <w:sz w:val="40"/>
          <w:szCs w:val="32"/>
        </w:rPr>
        <w:t>网络安全等级保护测评需求参数</w:t>
      </w:r>
    </w:p>
    <w:p w14:paraId="6DBACDE0">
      <w:pPr>
        <w:pStyle w:val="7"/>
        <w:spacing w:line="600" w:lineRule="exact"/>
        <w:jc w:val="left"/>
        <w:rPr>
          <w:rFonts w:ascii="宋体"/>
          <w:sz w:val="24"/>
          <w:szCs w:val="24"/>
        </w:rPr>
      </w:pPr>
      <w:bookmarkStart w:id="0" w:name="_Toc308768918"/>
      <w:r>
        <w:rPr>
          <w:rFonts w:hint="eastAsia" w:ascii="宋体"/>
          <w:sz w:val="24"/>
          <w:szCs w:val="24"/>
        </w:rPr>
        <w:t>一、</w:t>
      </w:r>
      <w:bookmarkEnd w:id="0"/>
      <w:r>
        <w:rPr>
          <w:rFonts w:hint="eastAsia" w:ascii="宋体"/>
          <w:sz w:val="24"/>
          <w:szCs w:val="24"/>
        </w:rPr>
        <w:t>供应商资格要求</w:t>
      </w:r>
    </w:p>
    <w:p w14:paraId="327907E2">
      <w:pPr>
        <w:spacing w:line="600" w:lineRule="exact"/>
        <w:ind w:firstLine="720" w:firstLineChars="300"/>
        <w:jc w:val="left"/>
        <w:rPr>
          <w:rFonts w:ascii="宋体"/>
          <w:color w:val="000000"/>
          <w:sz w:val="24"/>
        </w:rPr>
      </w:pPr>
      <w:bookmarkStart w:id="1" w:name="_Toc308768920"/>
      <w:r>
        <w:rPr>
          <w:rFonts w:ascii="宋体"/>
          <w:color w:val="000000"/>
          <w:sz w:val="24"/>
        </w:rPr>
        <w:t>1</w:t>
      </w:r>
      <w:r>
        <w:rPr>
          <w:rFonts w:hint="eastAsia" w:ascii="宋体"/>
          <w:color w:val="000000"/>
          <w:sz w:val="24"/>
        </w:rPr>
        <w:t>、符合《中华人民共和国政府采购法》第二十二条的规定。</w:t>
      </w:r>
    </w:p>
    <w:p w14:paraId="05588F2E">
      <w:pPr>
        <w:spacing w:line="600" w:lineRule="exact"/>
        <w:ind w:left="812" w:leftChars="227" w:hanging="86" w:hangingChars="36"/>
        <w:jc w:val="left"/>
        <w:rPr>
          <w:rFonts w:ascii="宋体"/>
          <w:color w:val="000000"/>
          <w:sz w:val="24"/>
        </w:rPr>
      </w:pPr>
      <w:r>
        <w:rPr>
          <w:rFonts w:ascii="宋体"/>
          <w:color w:val="000000"/>
          <w:sz w:val="24"/>
        </w:rPr>
        <w:t>2</w:t>
      </w:r>
      <w:r>
        <w:rPr>
          <w:rFonts w:hint="eastAsia" w:ascii="宋体"/>
          <w:color w:val="000000"/>
          <w:sz w:val="24"/>
        </w:rPr>
        <w:t>、</w:t>
      </w:r>
      <w:r>
        <w:rPr>
          <w:rFonts w:hint="eastAsia" w:ascii="宋体" w:hAnsi="宋体"/>
          <w:kern w:val="0"/>
          <w:sz w:val="24"/>
        </w:rPr>
        <w:t>具</w:t>
      </w:r>
      <w:r>
        <w:rPr>
          <w:rFonts w:hint="eastAsia" w:ascii="宋体"/>
          <w:sz w:val="24"/>
        </w:rPr>
        <w:t>备公安部第三研究所颁发的</w:t>
      </w:r>
      <w:r>
        <w:rPr>
          <w:rFonts w:hint="eastAsia" w:ascii="宋体"/>
          <w:color w:val="000000"/>
          <w:sz w:val="24"/>
        </w:rPr>
        <w:t>网络安全服务认证证书等级保护测评服务认证。</w:t>
      </w:r>
    </w:p>
    <w:p w14:paraId="1A351AE3">
      <w:pPr>
        <w:spacing w:line="600" w:lineRule="exact"/>
        <w:ind w:left="812" w:leftChars="227" w:hanging="86" w:hangingChars="36"/>
        <w:jc w:val="left"/>
        <w:rPr>
          <w:rFonts w:ascii="宋体" w:cs="宋体"/>
          <w:kern w:val="0"/>
          <w:sz w:val="24"/>
        </w:rPr>
      </w:pPr>
      <w:r>
        <w:rPr>
          <w:rFonts w:ascii="宋体" w:cs="宋体"/>
          <w:kern w:val="0"/>
          <w:sz w:val="24"/>
        </w:rPr>
        <w:t>3</w:t>
      </w:r>
      <w:r>
        <w:rPr>
          <w:rFonts w:hint="eastAsia" w:ascii="宋体" w:cs="宋体"/>
          <w:kern w:val="0"/>
          <w:sz w:val="24"/>
        </w:rPr>
        <w:t>、本项目不接受联合体报价。</w:t>
      </w:r>
    </w:p>
    <w:p w14:paraId="02553316">
      <w:pPr>
        <w:pStyle w:val="7"/>
        <w:spacing w:line="600" w:lineRule="exact"/>
        <w:jc w:val="left"/>
        <w:rPr>
          <w:rFonts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二、项目实施参照标准及依据</w:t>
      </w:r>
      <w:bookmarkEnd w:id="1"/>
    </w:p>
    <w:p w14:paraId="19958473">
      <w:pPr>
        <w:pStyle w:val="3"/>
        <w:spacing w:line="600" w:lineRule="exact"/>
        <w:ind w:left="420" w:leftChars="0" w:firstLine="0" w:firstLineChars="0"/>
        <w:outlineLvl w:val="0"/>
        <w:rPr>
          <w:rFonts w:ascii="宋体"/>
          <w:bCs/>
        </w:rPr>
      </w:pPr>
      <w:bookmarkStart w:id="2" w:name="_Toc441156072"/>
      <w:bookmarkStart w:id="3" w:name="_Toc427830676"/>
      <w:r>
        <w:rPr>
          <w:rFonts w:hint="eastAsia" w:ascii="宋体"/>
          <w:bCs/>
        </w:rPr>
        <w:t>主要依据政策文件及相关标准：</w:t>
      </w:r>
      <w:bookmarkEnd w:id="2"/>
      <w:bookmarkEnd w:id="3"/>
    </w:p>
    <w:p w14:paraId="1019CD11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公安部、国家保密局、国际密码管理局、国务院信息化工作办公室联合转发的《关于信息安全等级保护工作的实施意见》（公通字[2004]66 号）；</w:t>
      </w:r>
    </w:p>
    <w:p w14:paraId="48DCACE3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公安部、国家保密局、国家密码管理局、国务院信息化工作办公室制定的《信息安全等级保护管理办法》（公通字 [2007]43 号）；</w:t>
      </w:r>
    </w:p>
    <w:p w14:paraId="54E164A5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《国家信息化领导小组关于加强信息安全保障工作的意见》(中办发[2003]27 号）；</w:t>
      </w:r>
    </w:p>
    <w:p w14:paraId="32971F07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《计算机信息系统安全保护等级划分准则》（GB 17859-1999）；</w:t>
      </w:r>
    </w:p>
    <w:p w14:paraId="6B18834C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网络安全等级保护基本要求》（GB/T22239-2019）；</w:t>
      </w:r>
    </w:p>
    <w:p w14:paraId="2671E84E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网络安全等级保护定级指南》（GB/T 22240-2020）；</w:t>
      </w:r>
    </w:p>
    <w:p w14:paraId="7AE9CF2D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网络安全等级保护实施指南》（GB/T 25058-2019）；</w:t>
      </w:r>
    </w:p>
    <w:p w14:paraId="76BDDF31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网络安全等级保护测评要求》（GB/T 28448-2019）；</w:t>
      </w:r>
    </w:p>
    <w:p w14:paraId="6D283FBA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网络安全等级保护测评过程指南》 （GB/T 28449-2018）；</w:t>
      </w:r>
    </w:p>
    <w:p w14:paraId="3C21B62F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信息系统通用安全技术要求》（GB/T20271-2006）；</w:t>
      </w:r>
    </w:p>
    <w:p w14:paraId="74570D66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网络基础安全技术要求》（GB/T 20270-2006）；</w:t>
      </w:r>
    </w:p>
    <w:p w14:paraId="4AAA0A93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操作系统安全技术要求》（GB/T 20272-2019）；</w:t>
      </w:r>
    </w:p>
    <w:p w14:paraId="78648171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数据库管理系统安全技术要求》（GB/T20273-2019）；</w:t>
      </w:r>
    </w:p>
    <w:p w14:paraId="5C4C7153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服务器技术要求》（GB/T 21028-2007）；</w:t>
      </w:r>
    </w:p>
    <w:p w14:paraId="7BA476AF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信息系统安全管理要求》（GB/T20269-2006）；</w:t>
      </w:r>
    </w:p>
    <w:p w14:paraId="6F6A093D">
      <w:pPr>
        <w:numPr>
          <w:ilvl w:val="0"/>
          <w:numId w:val="1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《信息安全技术 信息系统安全工程管理要求》（GB/T20282-2006）；</w:t>
      </w:r>
    </w:p>
    <w:p w14:paraId="7215BA8E">
      <w:pPr>
        <w:pStyle w:val="7"/>
        <w:spacing w:line="600" w:lineRule="exact"/>
        <w:jc w:val="left"/>
        <w:rPr>
          <w:rFonts w:ascii="宋体"/>
          <w:sz w:val="24"/>
          <w:szCs w:val="24"/>
        </w:rPr>
      </w:pPr>
      <w:bookmarkStart w:id="4" w:name="_Toc308768919"/>
      <w:bookmarkStart w:id="5" w:name="_Toc308768921"/>
      <w:r>
        <w:rPr>
          <w:rFonts w:hint="eastAsia" w:ascii="宋体"/>
          <w:sz w:val="24"/>
          <w:szCs w:val="24"/>
        </w:rPr>
        <w:t>三、项目目标</w:t>
      </w:r>
      <w:bookmarkEnd w:id="4"/>
    </w:p>
    <w:p w14:paraId="46A2CC3A">
      <w:pPr>
        <w:spacing w:line="600" w:lineRule="exact"/>
        <w:ind w:firstLine="480" w:firstLineChars="200"/>
        <w:jc w:val="left"/>
        <w:rPr>
          <w:rFonts w:ascii="宋体" w:cs="宋体"/>
          <w:kern w:val="0"/>
          <w:sz w:val="24"/>
        </w:rPr>
      </w:pPr>
      <w:r>
        <w:rPr>
          <w:rFonts w:ascii="宋体" w:cs="宋体"/>
          <w:kern w:val="0"/>
          <w:sz w:val="24"/>
        </w:rPr>
        <w:t>1</w:t>
      </w:r>
      <w:r>
        <w:rPr>
          <w:rFonts w:hint="eastAsia" w:ascii="宋体" w:cs="宋体"/>
          <w:kern w:val="0"/>
          <w:sz w:val="24"/>
        </w:rPr>
        <w:t>、等级保护测评。对照国家标准、行业要求以及本单位有关规定逐项进行问题查找和问题分析，信息内容保护能力、安全运行监控能力、支撑环境保障能力、安全管理机制、运维管理机制等方面进行诊断，切实找准影响信息系统安全稳定运行的问题及原因。</w:t>
      </w:r>
    </w:p>
    <w:p w14:paraId="6E81A39C">
      <w:pPr>
        <w:spacing w:line="600" w:lineRule="exact"/>
        <w:ind w:firstLine="480" w:firstLineChars="200"/>
        <w:jc w:val="left"/>
        <w:rPr>
          <w:rFonts w:ascii="宋体" w:cs="宋体"/>
          <w:kern w:val="0"/>
          <w:sz w:val="24"/>
        </w:rPr>
      </w:pPr>
      <w:r>
        <w:rPr>
          <w:rFonts w:ascii="宋体" w:cs="宋体"/>
          <w:kern w:val="0"/>
          <w:sz w:val="24"/>
        </w:rPr>
        <w:t>2</w:t>
      </w:r>
      <w:r>
        <w:rPr>
          <w:rFonts w:hint="eastAsia" w:ascii="宋体" w:cs="宋体"/>
          <w:kern w:val="0"/>
          <w:sz w:val="24"/>
        </w:rPr>
        <w:t>、健全安全管理体系。按照信息系统安全等级保护的相关要求，梳理和完善各单位信息安全管理制度，健全和完善信息安全管理体系和技术保障体系。</w:t>
      </w:r>
    </w:p>
    <w:p w14:paraId="7E6E9001">
      <w:pPr>
        <w:pStyle w:val="7"/>
        <w:spacing w:line="600" w:lineRule="exact"/>
        <w:jc w:val="left"/>
        <w:rPr>
          <w:rFonts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四、项目内容</w:t>
      </w:r>
      <w:bookmarkEnd w:id="5"/>
    </w:p>
    <w:p w14:paraId="72976BC6">
      <w:pPr>
        <w:spacing w:line="600" w:lineRule="exact"/>
        <w:ind w:firstLine="480" w:firstLineChars="200"/>
        <w:jc w:val="left"/>
        <w:rPr>
          <w:rFonts w:ascii="宋体" w:cs="宋体"/>
          <w:kern w:val="0"/>
          <w:sz w:val="24"/>
        </w:rPr>
      </w:pPr>
      <w:r>
        <w:rPr>
          <w:rFonts w:ascii="宋体" w:cs="宋体"/>
          <w:kern w:val="0"/>
          <w:sz w:val="24"/>
        </w:rPr>
        <w:t>1.</w:t>
      </w:r>
      <w:r>
        <w:rPr>
          <w:rFonts w:hint="eastAsia" w:ascii="宋体" w:cs="宋体"/>
          <w:kern w:val="0"/>
          <w:sz w:val="24"/>
        </w:rPr>
        <w:t>等级保护测评</w:t>
      </w:r>
    </w:p>
    <w:tbl>
      <w:tblPr>
        <w:tblStyle w:val="8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2"/>
        <w:gridCol w:w="1455"/>
        <w:gridCol w:w="2768"/>
      </w:tblGrid>
      <w:tr w14:paraId="1454C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162" w:type="dxa"/>
            <w:vAlign w:val="bottom"/>
          </w:tcPr>
          <w:p w14:paraId="623C5DE4">
            <w:pPr>
              <w:spacing w:line="360" w:lineRule="auto"/>
              <w:ind w:firstLine="480" w:firstLineChars="200"/>
              <w:jc w:val="center"/>
              <w:rPr>
                <w:rFonts w:ascii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0"/>
              </w:rPr>
              <w:t>系统名称</w:t>
            </w:r>
          </w:p>
        </w:tc>
        <w:tc>
          <w:tcPr>
            <w:tcW w:w="1455" w:type="dxa"/>
            <w:vAlign w:val="bottom"/>
          </w:tcPr>
          <w:p w14:paraId="40EAEABD">
            <w:pPr>
              <w:spacing w:line="360" w:lineRule="auto"/>
              <w:ind w:firstLine="480" w:firstLineChars="200"/>
              <w:rPr>
                <w:rFonts w:ascii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0"/>
              </w:rPr>
              <w:t>级别</w:t>
            </w:r>
          </w:p>
        </w:tc>
        <w:tc>
          <w:tcPr>
            <w:tcW w:w="2768" w:type="dxa"/>
          </w:tcPr>
          <w:p w14:paraId="0F3C389E">
            <w:pPr>
              <w:spacing w:line="360" w:lineRule="auto"/>
              <w:ind w:firstLine="480" w:firstLineChars="200"/>
              <w:rPr>
                <w:rFonts w:ascii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0"/>
              </w:rPr>
              <w:t>预算</w:t>
            </w:r>
          </w:p>
        </w:tc>
      </w:tr>
      <w:tr w14:paraId="73264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162" w:type="dxa"/>
            <w:vAlign w:val="bottom"/>
          </w:tcPr>
          <w:p w14:paraId="130B669E">
            <w:pPr>
              <w:spacing w:line="360" w:lineRule="auto"/>
              <w:ind w:firstLine="480" w:firstLineChars="200"/>
              <w:jc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0"/>
              </w:rPr>
              <w:t>数字校园系统</w:t>
            </w:r>
            <w:r>
              <w:rPr>
                <w:rFonts w:ascii="宋体" w:hAnsi="宋体"/>
                <w:bCs/>
                <w:color w:val="000000"/>
                <w:kern w:val="0"/>
                <w:sz w:val="24"/>
                <w:szCs w:val="20"/>
              </w:rPr>
              <w:t>网络安全</w:t>
            </w: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0"/>
              </w:rPr>
              <w:t>等级保护</w:t>
            </w:r>
          </w:p>
        </w:tc>
        <w:tc>
          <w:tcPr>
            <w:tcW w:w="1455" w:type="dxa"/>
            <w:vAlign w:val="bottom"/>
          </w:tcPr>
          <w:p w14:paraId="376C6F79">
            <w:pPr>
              <w:spacing w:line="360" w:lineRule="auto"/>
              <w:ind w:firstLine="480" w:firstLineChars="200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0"/>
              </w:rPr>
              <w:t>二级</w:t>
            </w:r>
          </w:p>
        </w:tc>
        <w:tc>
          <w:tcPr>
            <w:tcW w:w="2768" w:type="dxa"/>
          </w:tcPr>
          <w:p w14:paraId="55FD5803">
            <w:pPr>
              <w:spacing w:line="360" w:lineRule="auto"/>
              <w:ind w:firstLine="480" w:firstLineChars="200"/>
              <w:rPr>
                <w:rFonts w:hint="eastAsia"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0"/>
              </w:rPr>
              <w:t>40000.0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>0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0"/>
              </w:rPr>
              <w:t>元</w:t>
            </w:r>
          </w:p>
        </w:tc>
      </w:tr>
    </w:tbl>
    <w:p w14:paraId="7687E90D">
      <w:pPr>
        <w:spacing w:line="440" w:lineRule="exact"/>
        <w:ind w:firstLine="720" w:firstLineChars="300"/>
        <w:jc w:val="left"/>
        <w:rPr>
          <w:rFonts w:asci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通过详细的系统调研，开展对山东电子职业技术学院</w:t>
      </w:r>
      <w:r>
        <w:rPr>
          <w:rFonts w:hint="eastAsia" w:ascii="宋体" w:hAnsi="宋体" w:cs="宋体"/>
          <w:bCs/>
          <w:kern w:val="0"/>
          <w:sz w:val="24"/>
        </w:rPr>
        <w:t>数字校园</w:t>
      </w:r>
      <w:r>
        <w:rPr>
          <w:rFonts w:hint="eastAsia" w:ascii="宋体" w:hAnsi="宋体" w:cs="宋体"/>
          <w:kern w:val="0"/>
          <w:sz w:val="24"/>
        </w:rPr>
        <w:t>系统的等级</w:t>
      </w:r>
      <w:r>
        <w:rPr>
          <w:rFonts w:hint="eastAsia" w:ascii="宋体" w:hAnsi="宋体"/>
          <w:color w:val="000000"/>
          <w:sz w:val="24"/>
        </w:rPr>
        <w:t>保护测评工作</w:t>
      </w:r>
      <w:r>
        <w:rPr>
          <w:rFonts w:hint="eastAsia" w:ascii="宋体" w:hAnsi="宋体" w:cs="宋体"/>
          <w:kern w:val="0"/>
          <w:sz w:val="24"/>
        </w:rPr>
        <w:t>。找出安全现状与标准要求之间的差距，并遵循适度安全的原则，协助制定安全整改建设方案，指导整改工作。最终完成等级保护测评报告。</w:t>
      </w:r>
    </w:p>
    <w:p w14:paraId="54575660">
      <w:p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ascii="宋体" w:cs="宋体"/>
          <w:kern w:val="0"/>
          <w:sz w:val="24"/>
        </w:rPr>
        <w:tab/>
      </w:r>
      <w:r>
        <w:rPr>
          <w:rFonts w:hint="eastAsia" w:ascii="宋体" w:cs="宋体"/>
          <w:kern w:val="0"/>
          <w:sz w:val="24"/>
        </w:rPr>
        <w:t>测评的内容包括但不限于以下内容：</w:t>
      </w:r>
    </w:p>
    <w:p w14:paraId="35997253">
      <w:pPr>
        <w:numPr>
          <w:ilvl w:val="0"/>
          <w:numId w:val="2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安全技术测评主要包括安全物理环境测评、安全通信网络测评、安全区域边界测评、安全计算环境测评、安全管理中心测评等五个方面。</w:t>
      </w:r>
    </w:p>
    <w:p w14:paraId="5AC39EA3">
      <w:pPr>
        <w:numPr>
          <w:ilvl w:val="0"/>
          <w:numId w:val="2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安全管理测评主要包括安全管理制度、安全管理机构、安全管理人员、安全建设管理和安全运维管理等五个方面</w:t>
      </w:r>
      <w:r>
        <w:rPr>
          <w:rFonts w:hint="eastAsia" w:ascii="宋体" w:cs="宋体"/>
          <w:kern w:val="0"/>
          <w:sz w:val="24"/>
        </w:rPr>
        <w:t>。</w:t>
      </w:r>
    </w:p>
    <w:p w14:paraId="1DA9ADCE">
      <w:pPr>
        <w:spacing w:line="600" w:lineRule="exact"/>
        <w:ind w:firstLine="420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通过现场测评，逐项找出系统现状与国家相关标准要求之间的差距，进行逐项分析、整体分析，给出差距分析报告，并给出整改建议方案。</w:t>
      </w:r>
    </w:p>
    <w:p w14:paraId="117D8278">
      <w:pPr>
        <w:spacing w:line="600" w:lineRule="exact"/>
        <w:ind w:firstLine="420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待整改完毕后，进行结果确认，完成网络安全等级保护测评，出具测评报告。</w:t>
      </w:r>
    </w:p>
    <w:p w14:paraId="1702E5C7">
      <w:pPr>
        <w:spacing w:line="600" w:lineRule="exact"/>
        <w:ind w:firstLine="420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出具《信息系统网络安全等级保护差距分析报告》、《信息系统网络安全等级保护测评报告》</w:t>
      </w:r>
    </w:p>
    <w:p w14:paraId="6535AEE6">
      <w:pPr>
        <w:spacing w:line="600" w:lineRule="exact"/>
        <w:ind w:left="420"/>
        <w:jc w:val="left"/>
        <w:rPr>
          <w:rFonts w:ascii="宋体" w:cs="宋体"/>
          <w:kern w:val="0"/>
          <w:sz w:val="24"/>
        </w:rPr>
      </w:pPr>
      <w:r>
        <w:rPr>
          <w:rFonts w:ascii="宋体" w:cs="宋体"/>
          <w:kern w:val="0"/>
          <w:sz w:val="24"/>
        </w:rPr>
        <w:t>2</w:t>
      </w:r>
      <w:r>
        <w:rPr>
          <w:rFonts w:hint="eastAsia" w:ascii="宋体" w:cs="宋体"/>
          <w:kern w:val="0"/>
          <w:sz w:val="24"/>
        </w:rPr>
        <w:t>、健全安全管理体系</w:t>
      </w:r>
    </w:p>
    <w:p w14:paraId="5783A2D1">
      <w:pPr>
        <w:spacing w:line="600" w:lineRule="exact"/>
        <w:ind w:firstLine="480" w:firstLineChars="200"/>
        <w:jc w:val="left"/>
        <w:rPr>
          <w:rFonts w:ascii="宋体" w:cs="Courier New"/>
          <w:bCs/>
          <w:sz w:val="24"/>
        </w:rPr>
      </w:pPr>
      <w:r>
        <w:rPr>
          <w:rFonts w:hint="eastAsia" w:ascii="宋体" w:cs="Courier New"/>
          <w:bCs/>
          <w:sz w:val="24"/>
        </w:rPr>
        <w:t>按照网络安全等级保护的相关要求，梳理和完善各单位信息安全管理制度，健全和完善信息安全管理体系和技术保障体系。</w:t>
      </w:r>
    </w:p>
    <w:p w14:paraId="700A1007">
      <w:pPr>
        <w:spacing w:line="600" w:lineRule="exact"/>
        <w:ind w:firstLine="480" w:firstLineChars="200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依据标准《网络安全等级保护基本要求》（</w:t>
      </w:r>
      <w:r>
        <w:rPr>
          <w:rFonts w:ascii="宋体" w:cs="宋体"/>
          <w:kern w:val="0"/>
          <w:sz w:val="24"/>
        </w:rPr>
        <w:t>GB/T 22239-2019</w:t>
      </w:r>
      <w:r>
        <w:rPr>
          <w:rFonts w:hint="eastAsia" w:ascii="宋体" w:cs="宋体"/>
          <w:kern w:val="0"/>
          <w:sz w:val="24"/>
        </w:rPr>
        <w:t>）、《信息系统安全管理要求》（</w:t>
      </w:r>
      <w:r>
        <w:rPr>
          <w:rFonts w:ascii="宋体" w:cs="宋体"/>
          <w:kern w:val="0"/>
          <w:sz w:val="24"/>
        </w:rPr>
        <w:t>GBT20269-2006</w:t>
      </w:r>
      <w:r>
        <w:rPr>
          <w:rFonts w:hint="eastAsia" w:ascii="宋体" w:cs="宋体"/>
          <w:kern w:val="0"/>
          <w:sz w:val="24"/>
        </w:rPr>
        <w:t>）等，完成安全管理体系的设计，制定等级保护整改方案，指导完成信息系统安全技术体系和安全管理体系的建立健全。</w:t>
      </w:r>
    </w:p>
    <w:p w14:paraId="4D15D028">
      <w:pPr>
        <w:pStyle w:val="7"/>
        <w:spacing w:line="600" w:lineRule="exact"/>
        <w:jc w:val="left"/>
        <w:rPr>
          <w:rFonts w:ascii="宋体"/>
          <w:sz w:val="24"/>
          <w:szCs w:val="24"/>
        </w:rPr>
      </w:pPr>
      <w:bookmarkStart w:id="6" w:name="_Toc308768922"/>
      <w:r>
        <w:rPr>
          <w:rFonts w:hint="eastAsia" w:ascii="宋体"/>
          <w:sz w:val="24"/>
          <w:szCs w:val="24"/>
        </w:rPr>
        <w:t>五、成果交付</w:t>
      </w:r>
      <w:bookmarkEnd w:id="6"/>
    </w:p>
    <w:p w14:paraId="58DF72DC">
      <w:pPr>
        <w:spacing w:line="600" w:lineRule="exact"/>
        <w:ind w:firstLine="480" w:firstLineChars="200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提交的文档包括但不限于如下文件：</w:t>
      </w:r>
    </w:p>
    <w:p w14:paraId="0F464415">
      <w:pPr>
        <w:numPr>
          <w:ilvl w:val="0"/>
          <w:numId w:val="3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《网络安全等级保护测评方案》</w:t>
      </w:r>
    </w:p>
    <w:p w14:paraId="15AE8B29">
      <w:pPr>
        <w:numPr>
          <w:ilvl w:val="0"/>
          <w:numId w:val="3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《网络安全等级保护差距分析报告》</w:t>
      </w:r>
    </w:p>
    <w:p w14:paraId="641D59D7">
      <w:pPr>
        <w:numPr>
          <w:ilvl w:val="0"/>
          <w:numId w:val="3"/>
        </w:numPr>
        <w:spacing w:line="600" w:lineRule="exact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《网络安全等级保护测评报告》</w:t>
      </w:r>
    </w:p>
    <w:p w14:paraId="550C84EA">
      <w:pPr>
        <w:spacing w:line="600" w:lineRule="exact"/>
        <w:ind w:left="480"/>
        <w:jc w:val="left"/>
        <w:rPr>
          <w:rFonts w:ascii="宋体" w:cs="宋体"/>
          <w:kern w:val="0"/>
          <w:sz w:val="24"/>
        </w:rPr>
      </w:pPr>
      <w:r>
        <w:rPr>
          <w:rFonts w:hint="eastAsia" w:ascii="宋体" w:cs="宋体"/>
          <w:kern w:val="0"/>
          <w:sz w:val="24"/>
        </w:rPr>
        <w:t>（</w:t>
      </w:r>
      <w:r>
        <w:rPr>
          <w:rFonts w:ascii="宋体" w:cs="宋体"/>
          <w:kern w:val="0"/>
          <w:sz w:val="24"/>
        </w:rPr>
        <w:t>4</w:t>
      </w:r>
      <w:r>
        <w:rPr>
          <w:rFonts w:hint="eastAsia" w:ascii="宋体" w:cs="宋体"/>
          <w:kern w:val="0"/>
          <w:sz w:val="24"/>
        </w:rPr>
        <w:t>）</w:t>
      </w:r>
      <w:r>
        <w:rPr>
          <w:rFonts w:ascii="宋体" w:cs="宋体"/>
          <w:kern w:val="0"/>
          <w:sz w:val="24"/>
        </w:rPr>
        <w:t xml:space="preserve">  </w:t>
      </w:r>
      <w:r>
        <w:rPr>
          <w:rFonts w:hint="eastAsia" w:ascii="宋体" w:cs="宋体"/>
          <w:kern w:val="0"/>
          <w:sz w:val="24"/>
        </w:rPr>
        <w:t>《网络安全等级保护管理体系制度》</w:t>
      </w:r>
    </w:p>
    <w:p w14:paraId="5C53EFDB">
      <w:pPr>
        <w:pStyle w:val="7"/>
        <w:spacing w:line="600" w:lineRule="exact"/>
        <w:jc w:val="left"/>
        <w:rPr>
          <w:rFonts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六、人员要求</w:t>
      </w:r>
    </w:p>
    <w:p w14:paraId="1B257F26">
      <w:pPr>
        <w:spacing w:line="600" w:lineRule="exact"/>
        <w:ind w:firstLine="480" w:firstLineChars="200"/>
        <w:jc w:val="left"/>
        <w:rPr>
          <w:rFonts w:ascii="宋体" w:cs="宋体"/>
          <w:kern w:val="0"/>
          <w:sz w:val="24"/>
        </w:rPr>
      </w:pPr>
      <w:r>
        <w:rPr>
          <w:rFonts w:ascii="宋体" w:cs="宋体"/>
          <w:kern w:val="0"/>
          <w:sz w:val="24"/>
        </w:rPr>
        <w:t>1</w:t>
      </w:r>
      <w:r>
        <w:rPr>
          <w:rFonts w:hint="eastAsia" w:ascii="宋体" w:cs="宋体"/>
          <w:kern w:val="0"/>
          <w:sz w:val="24"/>
        </w:rPr>
        <w:t>、</w:t>
      </w:r>
      <w:r>
        <w:rPr>
          <w:rFonts w:hint="eastAsia"/>
          <w:b/>
          <w:sz w:val="24"/>
        </w:rPr>
        <w:t>★</w:t>
      </w:r>
      <w:r>
        <w:rPr>
          <w:rFonts w:hint="eastAsia" w:ascii="宋体" w:cs="宋体"/>
          <w:kern w:val="0"/>
          <w:sz w:val="24"/>
          <w:u w:val="single"/>
        </w:rPr>
        <w:t>人员要求：本次等级测评项目组中至少包含</w:t>
      </w:r>
      <w:r>
        <w:rPr>
          <w:rFonts w:ascii="宋体" w:cs="宋体"/>
          <w:kern w:val="0"/>
          <w:sz w:val="24"/>
          <w:u w:val="single"/>
        </w:rPr>
        <w:t>1</w:t>
      </w:r>
      <w:r>
        <w:rPr>
          <w:rFonts w:hint="eastAsia" w:ascii="宋体" w:cs="宋体"/>
          <w:kern w:val="0"/>
          <w:sz w:val="24"/>
          <w:u w:val="single"/>
        </w:rPr>
        <w:t>名高级等级测评师、</w:t>
      </w:r>
      <w:r>
        <w:rPr>
          <w:rFonts w:ascii="宋体" w:cs="宋体"/>
          <w:kern w:val="0"/>
          <w:sz w:val="24"/>
          <w:u w:val="single"/>
        </w:rPr>
        <w:t>2</w:t>
      </w:r>
      <w:r>
        <w:rPr>
          <w:rFonts w:hint="eastAsia" w:ascii="宋体" w:cs="宋体"/>
          <w:kern w:val="0"/>
          <w:sz w:val="24"/>
          <w:u w:val="single"/>
        </w:rPr>
        <w:t>名中级等级测评师，</w:t>
      </w:r>
      <w:r>
        <w:rPr>
          <w:rFonts w:ascii="宋体" w:cs="宋体"/>
          <w:kern w:val="0"/>
          <w:sz w:val="24"/>
          <w:u w:val="single"/>
        </w:rPr>
        <w:t>3</w:t>
      </w:r>
      <w:r>
        <w:rPr>
          <w:rFonts w:hint="eastAsia" w:ascii="宋体" w:cs="宋体"/>
          <w:kern w:val="0"/>
          <w:sz w:val="24"/>
          <w:u w:val="single"/>
        </w:rPr>
        <w:t>名初级等级测评师（提供证书复印件加盖公章），投标人应详细描述项目组成员人员分工计划。</w:t>
      </w:r>
    </w:p>
    <w:p w14:paraId="088B9F70">
      <w:pPr>
        <w:spacing w:line="600" w:lineRule="exact"/>
        <w:ind w:firstLine="480" w:firstLineChars="200"/>
        <w:jc w:val="left"/>
        <w:rPr>
          <w:rFonts w:ascii="宋体" w:cs="宋体"/>
          <w:kern w:val="0"/>
          <w:sz w:val="24"/>
        </w:rPr>
      </w:pPr>
      <w:r>
        <w:rPr>
          <w:rFonts w:ascii="宋体" w:cs="宋体"/>
          <w:kern w:val="0"/>
          <w:sz w:val="24"/>
        </w:rPr>
        <w:t>2</w:t>
      </w:r>
      <w:r>
        <w:rPr>
          <w:rFonts w:hint="eastAsia" w:ascii="宋体" w:cs="宋体"/>
          <w:kern w:val="0"/>
          <w:sz w:val="24"/>
        </w:rPr>
        <w:t>、保密要求：投标人应对采购人提供的所有资料向第三方保密，不得将本项目产生的所有资料、数据向第三方提供。</w:t>
      </w:r>
    </w:p>
    <w:p w14:paraId="6F703BDD">
      <w:pPr>
        <w:spacing w:line="600" w:lineRule="exact"/>
        <w:ind w:firstLine="482" w:firstLineChars="200"/>
        <w:jc w:val="left"/>
        <w:rPr>
          <w:rFonts w:ascii="宋体" w:cs="宋体"/>
          <w:b/>
          <w:kern w:val="0"/>
          <w:sz w:val="24"/>
        </w:rPr>
      </w:pPr>
      <w:r>
        <w:rPr>
          <w:rFonts w:hint="eastAsia" w:ascii="宋体" w:cs="宋体"/>
          <w:b/>
          <w:kern w:val="0"/>
          <w:sz w:val="24"/>
        </w:rPr>
        <w:t>注：以上加“★”并注有“</w:t>
      </w:r>
      <w:r>
        <w:rPr>
          <w:rFonts w:ascii="宋体" w:cs="宋体"/>
          <w:b/>
          <w:kern w:val="0"/>
          <w:sz w:val="24"/>
          <w:u w:val="single"/>
        </w:rPr>
        <w:t xml:space="preserve">    </w:t>
      </w:r>
      <w:r>
        <w:rPr>
          <w:rFonts w:hint="eastAsia" w:ascii="宋体" w:cs="宋体"/>
          <w:b/>
          <w:kern w:val="0"/>
          <w:sz w:val="24"/>
        </w:rPr>
        <w:t>”的条款内容为本项目的实质性技术或服务要求，如不满足，按无效报价处理。</w:t>
      </w:r>
    </w:p>
    <w:p w14:paraId="3FB5859F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七、评分标准</w:t>
      </w:r>
    </w:p>
    <w:tbl>
      <w:tblPr>
        <w:tblStyle w:val="8"/>
        <w:tblW w:w="966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558"/>
        <w:gridCol w:w="850"/>
      </w:tblGrid>
      <w:tr w14:paraId="243A6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60" w:type="dxa"/>
            <w:vAlign w:val="center"/>
          </w:tcPr>
          <w:p w14:paraId="31D3F3D0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评分因素</w:t>
            </w:r>
          </w:p>
        </w:tc>
        <w:tc>
          <w:tcPr>
            <w:tcW w:w="7558" w:type="dxa"/>
            <w:vAlign w:val="center"/>
          </w:tcPr>
          <w:p w14:paraId="2B3D3E3E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评分内容</w:t>
            </w:r>
          </w:p>
        </w:tc>
        <w:tc>
          <w:tcPr>
            <w:tcW w:w="850" w:type="dxa"/>
            <w:vAlign w:val="center"/>
          </w:tcPr>
          <w:p w14:paraId="67899588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</w:t>
            </w:r>
          </w:p>
        </w:tc>
      </w:tr>
      <w:tr w14:paraId="75056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vMerge w:val="restart"/>
            <w:vAlign w:val="center"/>
          </w:tcPr>
          <w:p w14:paraId="6F9DFB49"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技术部分</w:t>
            </w:r>
          </w:p>
          <w:p w14:paraId="1ABE1F0D"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（4</w:t>
            </w:r>
            <w:r>
              <w:rPr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）</w:t>
            </w:r>
          </w:p>
        </w:tc>
        <w:tc>
          <w:tcPr>
            <w:tcW w:w="7558" w:type="dxa"/>
          </w:tcPr>
          <w:p w14:paraId="0AB9EF32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对国家政策、标准和行业依据标准的理解，方案对政策标准的遵从度与符合度。得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～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850" w:type="dxa"/>
            <w:vAlign w:val="center"/>
          </w:tcPr>
          <w:p w14:paraId="1A1A10DB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14:paraId="07722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260" w:type="dxa"/>
            <w:vMerge w:val="continue"/>
          </w:tcPr>
          <w:p w14:paraId="6AE0B1D1">
            <w:pPr>
              <w:spacing w:line="440" w:lineRule="exact"/>
              <w:jc w:val="center"/>
              <w:rPr>
                <w:b/>
                <w:sz w:val="24"/>
              </w:rPr>
            </w:pPr>
          </w:p>
        </w:tc>
        <w:tc>
          <w:tcPr>
            <w:tcW w:w="7558" w:type="dxa"/>
          </w:tcPr>
          <w:p w14:paraId="491283DB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对等级测评方案中项目需求分析、评测的方法、评测工具的使用、测评工作的内容和计划、测评质量的保障措施等是否思路清晰、有针对性、全面性和可操作性。得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～</w:t>
            </w:r>
            <w:r>
              <w:rPr>
                <w:sz w:val="24"/>
              </w:rPr>
              <w:t>30</w:t>
            </w:r>
            <w:r>
              <w:rPr>
                <w:rFonts w:hint="eastAsia"/>
                <w:sz w:val="24"/>
              </w:rPr>
              <w:t>分。</w:t>
            </w:r>
          </w:p>
        </w:tc>
        <w:tc>
          <w:tcPr>
            <w:tcW w:w="850" w:type="dxa"/>
            <w:vAlign w:val="center"/>
          </w:tcPr>
          <w:p w14:paraId="665935C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14:paraId="7BC42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5" w:hRule="atLeast"/>
        </w:trPr>
        <w:tc>
          <w:tcPr>
            <w:tcW w:w="1260" w:type="dxa"/>
            <w:vMerge w:val="continue"/>
          </w:tcPr>
          <w:p w14:paraId="31DD4A42">
            <w:pPr>
              <w:spacing w:line="440" w:lineRule="exact"/>
              <w:jc w:val="center"/>
              <w:rPr>
                <w:b/>
                <w:sz w:val="24"/>
              </w:rPr>
            </w:pPr>
          </w:p>
        </w:tc>
        <w:tc>
          <w:tcPr>
            <w:tcW w:w="7558" w:type="dxa"/>
          </w:tcPr>
          <w:p w14:paraId="11769EB2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对测试方案中，人员是否配备充足、技术力量强、搭配合理、工作流程和岗位职责是否描述清晰、切实可行，得</w:t>
            </w:r>
            <w:r>
              <w:rPr>
                <w:sz w:val="24"/>
              </w:rPr>
              <w:t xml:space="preserve"> 3</w:t>
            </w:r>
            <w:r>
              <w:rPr>
                <w:rFonts w:hint="eastAsia"/>
                <w:sz w:val="24"/>
              </w:rPr>
              <w:t>～</w:t>
            </w:r>
            <w:r>
              <w:rPr>
                <w:sz w:val="24"/>
              </w:rPr>
              <w:t xml:space="preserve">5 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850" w:type="dxa"/>
            <w:vAlign w:val="center"/>
          </w:tcPr>
          <w:p w14:paraId="0EB2C88A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14:paraId="0DE69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260" w:type="dxa"/>
            <w:vMerge w:val="continue"/>
          </w:tcPr>
          <w:p w14:paraId="2E23EFA4">
            <w:pPr>
              <w:spacing w:line="440" w:lineRule="exact"/>
              <w:jc w:val="center"/>
              <w:rPr>
                <w:b/>
                <w:sz w:val="24"/>
              </w:rPr>
            </w:pPr>
          </w:p>
        </w:tc>
        <w:tc>
          <w:tcPr>
            <w:tcW w:w="7558" w:type="dxa"/>
          </w:tcPr>
          <w:p w14:paraId="33AD40DE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专业设备的投入情况，具备等保工具箱、漏洞扫描设备、数据库扫描设备、中关村信息安全测评联盟等级测评工具，每有一项得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分，全部具备得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分。（须提供设备采购合同复印件）。</w:t>
            </w:r>
          </w:p>
        </w:tc>
        <w:tc>
          <w:tcPr>
            <w:tcW w:w="850" w:type="dxa"/>
            <w:vAlign w:val="center"/>
          </w:tcPr>
          <w:p w14:paraId="189E59C5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14:paraId="28E58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vMerge w:val="restart"/>
            <w:vAlign w:val="center"/>
          </w:tcPr>
          <w:p w14:paraId="62DDF6E8"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商务部分</w:t>
            </w:r>
          </w:p>
          <w:p w14:paraId="7855FF44"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b/>
                <w:sz w:val="24"/>
              </w:rPr>
              <w:t>45</w:t>
            </w:r>
            <w:r>
              <w:rPr>
                <w:rFonts w:hint="eastAsia"/>
                <w:b/>
                <w:sz w:val="24"/>
              </w:rPr>
              <w:t>）</w:t>
            </w:r>
          </w:p>
        </w:tc>
        <w:tc>
          <w:tcPr>
            <w:tcW w:w="7558" w:type="dxa"/>
          </w:tcPr>
          <w:p w14:paraId="162EBD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投标人自开标之日起近</w:t>
            </w:r>
            <w:r>
              <w:rPr>
                <w:sz w:val="24"/>
              </w:rPr>
              <w:t xml:space="preserve"> 36</w:t>
            </w:r>
            <w:r>
              <w:rPr>
                <w:rFonts w:hint="eastAsia"/>
                <w:sz w:val="24"/>
              </w:rPr>
              <w:t>个月签订的同类项目案例，每提供</w:t>
            </w:r>
            <w:r>
              <w:rPr>
                <w:sz w:val="24"/>
              </w:rPr>
              <w:t xml:space="preserve"> 1</w:t>
            </w:r>
            <w:r>
              <w:rPr>
                <w:rFonts w:hint="eastAsia"/>
                <w:sz w:val="24"/>
              </w:rPr>
              <w:t>个，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得</w:t>
            </w:r>
            <w:r>
              <w:rPr>
                <w:sz w:val="24"/>
              </w:rPr>
              <w:t xml:space="preserve"> 1</w:t>
            </w:r>
            <w:r>
              <w:rPr>
                <w:rFonts w:hint="eastAsia"/>
                <w:sz w:val="24"/>
              </w:rPr>
              <w:t>分，最多得</w:t>
            </w:r>
            <w:r>
              <w:rPr>
                <w:sz w:val="24"/>
              </w:rPr>
              <w:t xml:space="preserve"> 10</w:t>
            </w:r>
            <w:r>
              <w:rPr>
                <w:rFonts w:hint="eastAsia"/>
                <w:sz w:val="24"/>
              </w:rPr>
              <w:t>分。</w:t>
            </w:r>
          </w:p>
        </w:tc>
        <w:tc>
          <w:tcPr>
            <w:tcW w:w="850" w:type="dxa"/>
            <w:vAlign w:val="center"/>
          </w:tcPr>
          <w:p w14:paraId="1A28C3A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14:paraId="18DDC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60" w:type="dxa"/>
            <w:vMerge w:val="continue"/>
          </w:tcPr>
          <w:p w14:paraId="08BAF282">
            <w:pPr>
              <w:spacing w:line="440" w:lineRule="exact"/>
              <w:jc w:val="center"/>
              <w:rPr>
                <w:b/>
                <w:sz w:val="24"/>
              </w:rPr>
            </w:pPr>
          </w:p>
        </w:tc>
        <w:tc>
          <w:tcPr>
            <w:tcW w:w="7558" w:type="dxa"/>
          </w:tcPr>
          <w:p w14:paraId="06F61BC7">
            <w:pPr>
              <w:spacing w:line="440" w:lineRule="exact"/>
              <w:rPr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>项目负责人同时具有等级保护测评师证书、</w:t>
            </w:r>
            <w:r>
              <w:rPr>
                <w:sz w:val="24"/>
              </w:rPr>
              <w:t>NCSE</w:t>
            </w:r>
            <w:r>
              <w:rPr>
                <w:rFonts w:hint="eastAsia"/>
                <w:sz w:val="24"/>
              </w:rPr>
              <w:t>证书，得</w:t>
            </w: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分。（需提供人员证书复印件）。</w:t>
            </w:r>
          </w:p>
        </w:tc>
        <w:tc>
          <w:tcPr>
            <w:tcW w:w="850" w:type="dxa"/>
            <w:vAlign w:val="center"/>
          </w:tcPr>
          <w:p w14:paraId="2A945DC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14:paraId="49C47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60" w:type="dxa"/>
            <w:vMerge w:val="continue"/>
          </w:tcPr>
          <w:p w14:paraId="0FDD2F6F">
            <w:pPr>
              <w:spacing w:line="440" w:lineRule="exact"/>
              <w:jc w:val="center"/>
              <w:rPr>
                <w:b/>
                <w:sz w:val="24"/>
              </w:rPr>
            </w:pPr>
          </w:p>
        </w:tc>
        <w:tc>
          <w:tcPr>
            <w:tcW w:w="7558" w:type="dxa"/>
          </w:tcPr>
          <w:p w14:paraId="337163C8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投入本项目的组成员具有</w:t>
            </w:r>
            <w:r>
              <w:rPr>
                <w:sz w:val="24"/>
              </w:rPr>
              <w:t>CISAW</w:t>
            </w:r>
            <w:r>
              <w:rPr>
                <w:rFonts w:hint="eastAsia"/>
                <w:sz w:val="24"/>
              </w:rPr>
              <w:t>（应急服务方向）、C</w:t>
            </w:r>
            <w:r>
              <w:rPr>
                <w:sz w:val="24"/>
              </w:rPr>
              <w:t>SSP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CIIP-T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ITIL</w:t>
            </w:r>
            <w:r>
              <w:rPr>
                <w:rFonts w:hint="eastAsia"/>
                <w:sz w:val="24"/>
              </w:rPr>
              <w:t>信息安全人员认证书的，每项提供</w:t>
            </w:r>
            <w:r>
              <w:rPr>
                <w:sz w:val="24"/>
              </w:rPr>
              <w:t xml:space="preserve"> 1</w:t>
            </w:r>
            <w:r>
              <w:rPr>
                <w:rFonts w:hint="eastAsia"/>
                <w:sz w:val="24"/>
              </w:rPr>
              <w:t>名得</w:t>
            </w:r>
            <w:r>
              <w:rPr>
                <w:sz w:val="24"/>
              </w:rPr>
              <w:t xml:space="preserve"> 0.5 </w:t>
            </w:r>
            <w:r>
              <w:rPr>
                <w:rFonts w:hint="eastAsia"/>
                <w:sz w:val="24"/>
              </w:rPr>
              <w:t>分，最高得</w:t>
            </w:r>
            <w:r>
              <w:rPr>
                <w:sz w:val="24"/>
              </w:rPr>
              <w:t xml:space="preserve"> 2</w:t>
            </w:r>
            <w:r>
              <w:rPr>
                <w:rFonts w:hint="eastAsia"/>
                <w:sz w:val="24"/>
              </w:rPr>
              <w:t>分</w:t>
            </w:r>
          </w:p>
        </w:tc>
        <w:tc>
          <w:tcPr>
            <w:tcW w:w="850" w:type="dxa"/>
            <w:vAlign w:val="center"/>
          </w:tcPr>
          <w:p w14:paraId="200DBAD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14:paraId="6F1F8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260" w:type="dxa"/>
            <w:vMerge w:val="continue"/>
          </w:tcPr>
          <w:p w14:paraId="11427206">
            <w:pPr>
              <w:spacing w:line="440" w:lineRule="exact"/>
              <w:jc w:val="center"/>
              <w:rPr>
                <w:b/>
                <w:sz w:val="24"/>
              </w:rPr>
            </w:pPr>
          </w:p>
        </w:tc>
        <w:tc>
          <w:tcPr>
            <w:tcW w:w="7558" w:type="dxa"/>
          </w:tcPr>
          <w:p w14:paraId="3D1CFB57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具有中国合格评定国家认可委员会认定的“</w:t>
            </w:r>
            <w:r>
              <w:rPr>
                <w:sz w:val="24"/>
              </w:rPr>
              <w:t>CNAS 17020</w:t>
            </w:r>
            <w:r>
              <w:rPr>
                <w:rFonts w:hint="eastAsia"/>
                <w:sz w:val="24"/>
              </w:rPr>
              <w:t>检查机构认可证书”资质，得5分</w:t>
            </w:r>
          </w:p>
        </w:tc>
        <w:tc>
          <w:tcPr>
            <w:tcW w:w="850" w:type="dxa"/>
            <w:vAlign w:val="center"/>
          </w:tcPr>
          <w:p w14:paraId="1BE3041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14:paraId="0D2FF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260" w:type="dxa"/>
            <w:vMerge w:val="continue"/>
          </w:tcPr>
          <w:p w14:paraId="27FAC760">
            <w:pPr>
              <w:spacing w:line="440" w:lineRule="exact"/>
              <w:jc w:val="center"/>
              <w:rPr>
                <w:b/>
                <w:sz w:val="24"/>
              </w:rPr>
            </w:pPr>
          </w:p>
        </w:tc>
        <w:tc>
          <w:tcPr>
            <w:tcW w:w="7558" w:type="dxa"/>
          </w:tcPr>
          <w:p w14:paraId="5ABF80F8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具有中国网络安全审查技术与认证中心（CCRC）颁发的信息安全运维服务资质证书、信息安全风险评估服务资质证书、信息安全应急服务资质证书”，的得</w:t>
            </w:r>
            <w:r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>分，缺一项不得分。提供加盖公章的复印件，没有不得分。</w:t>
            </w:r>
          </w:p>
        </w:tc>
        <w:tc>
          <w:tcPr>
            <w:tcW w:w="850" w:type="dxa"/>
            <w:vAlign w:val="center"/>
          </w:tcPr>
          <w:p w14:paraId="7FC394CA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14:paraId="02581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260" w:type="dxa"/>
            <w:vMerge w:val="continue"/>
          </w:tcPr>
          <w:p w14:paraId="65539DDA">
            <w:pPr>
              <w:spacing w:line="440" w:lineRule="exact"/>
              <w:jc w:val="center"/>
              <w:rPr>
                <w:b/>
                <w:sz w:val="24"/>
              </w:rPr>
            </w:pPr>
          </w:p>
        </w:tc>
        <w:tc>
          <w:tcPr>
            <w:tcW w:w="7558" w:type="dxa"/>
          </w:tcPr>
          <w:p w14:paraId="53DB912E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具有ISO9001质量管理体系认证证书、GB/T</w:t>
            </w:r>
            <w:r>
              <w:rPr>
                <w:sz w:val="24"/>
              </w:rPr>
              <w:t>45</w:t>
            </w:r>
            <w:r>
              <w:rPr>
                <w:rFonts w:hint="eastAsia"/>
                <w:sz w:val="24"/>
              </w:rPr>
              <w:t>001职业健康安全管理体系认证证书、ISO14001环境管理体系认证证书的每个得3分，共9分。提供加盖公章的复印件，没有不得分；</w:t>
            </w:r>
          </w:p>
        </w:tc>
        <w:tc>
          <w:tcPr>
            <w:tcW w:w="850" w:type="dxa"/>
            <w:vAlign w:val="center"/>
          </w:tcPr>
          <w:p w14:paraId="295D7B83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</w:tr>
      <w:tr w14:paraId="3428B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vAlign w:val="center"/>
          </w:tcPr>
          <w:p w14:paraId="04F2A801"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投标报价</w:t>
            </w:r>
          </w:p>
          <w:p w14:paraId="6C23E4C2"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b/>
                <w:sz w:val="24"/>
              </w:rPr>
              <w:t>10</w:t>
            </w:r>
            <w:r>
              <w:rPr>
                <w:rFonts w:hint="eastAsia"/>
                <w:b/>
                <w:sz w:val="24"/>
              </w:rPr>
              <w:t>分）</w:t>
            </w:r>
          </w:p>
        </w:tc>
        <w:tc>
          <w:tcPr>
            <w:tcW w:w="7558" w:type="dxa"/>
          </w:tcPr>
          <w:p w14:paraId="380BE1BC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报价取有效投标人报价的算术平均值（当投标人大于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家时，去掉一个最高值和一个最低值）为评标参考值</w:t>
            </w:r>
            <w:r>
              <w:rPr>
                <w:sz w:val="24"/>
              </w:rPr>
              <w:t>N</w:t>
            </w:r>
            <w:r>
              <w:rPr>
                <w:rFonts w:hint="eastAsia"/>
                <w:sz w:val="24"/>
              </w:rPr>
              <w:t>；投标报价与</w:t>
            </w:r>
            <w:r>
              <w:rPr>
                <w:sz w:val="24"/>
              </w:rPr>
              <w:t>N</w:t>
            </w:r>
            <w:r>
              <w:rPr>
                <w:rFonts w:hint="eastAsia"/>
                <w:sz w:val="24"/>
              </w:rPr>
              <w:t>值相等的得满分</w:t>
            </w: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分，每高于</w:t>
            </w:r>
            <w:r>
              <w:rPr>
                <w:sz w:val="24"/>
              </w:rPr>
              <w:t>N</w:t>
            </w:r>
            <w:r>
              <w:rPr>
                <w:rFonts w:hint="eastAsia"/>
                <w:sz w:val="24"/>
              </w:rPr>
              <w:t>值</w:t>
            </w:r>
            <w:r>
              <w:rPr>
                <w:sz w:val="24"/>
              </w:rPr>
              <w:t>1%</w:t>
            </w:r>
            <w:r>
              <w:rPr>
                <w:rFonts w:hint="eastAsia"/>
                <w:sz w:val="24"/>
              </w:rPr>
              <w:t>，在</w:t>
            </w: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分的基础上扣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分，每低于</w:t>
            </w:r>
            <w:r>
              <w:rPr>
                <w:sz w:val="24"/>
              </w:rPr>
              <w:t>N</w:t>
            </w:r>
            <w:r>
              <w:rPr>
                <w:rFonts w:hint="eastAsia"/>
                <w:sz w:val="24"/>
              </w:rPr>
              <w:t>值</w:t>
            </w:r>
            <w:r>
              <w:rPr>
                <w:sz w:val="24"/>
              </w:rPr>
              <w:t>1%</w:t>
            </w:r>
            <w:r>
              <w:rPr>
                <w:rFonts w:hint="eastAsia"/>
                <w:sz w:val="24"/>
              </w:rPr>
              <w:t>，在</w:t>
            </w: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分的基础上扣</w:t>
            </w:r>
            <w:r>
              <w:rPr>
                <w:sz w:val="24"/>
              </w:rPr>
              <w:t>0.5</w:t>
            </w:r>
            <w:r>
              <w:rPr>
                <w:rFonts w:hint="eastAsia"/>
                <w:sz w:val="24"/>
              </w:rPr>
              <w:t>分。评标小组有权判定明显低于成本的不合理超低价投标是无效投标，将不计入基准价计算。</w:t>
            </w:r>
          </w:p>
        </w:tc>
        <w:tc>
          <w:tcPr>
            <w:tcW w:w="850" w:type="dxa"/>
            <w:vAlign w:val="center"/>
          </w:tcPr>
          <w:p w14:paraId="3ADFBB7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14:paraId="18A46982"/>
    <w:sectPr>
      <w:pgSz w:w="11906" w:h="16838"/>
      <w:pgMar w:top="1440" w:right="1077" w:bottom="1440" w:left="1077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1AEB6C56"/>
    <w:multiLevelType w:val="multilevel"/>
    <w:tmpl w:val="1AEB6C56"/>
    <w:lvl w:ilvl="0" w:tentative="0">
      <w:start w:val="1"/>
      <w:numFmt w:val="decimal"/>
      <w:lvlText w:val="（%1）"/>
      <w:lvlJc w:val="left"/>
      <w:pPr>
        <w:tabs>
          <w:tab w:val="left" w:pos="0"/>
        </w:tabs>
        <w:ind w:left="900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  <w:rPr>
        <w:rFonts w:cs="Times New Roman"/>
      </w:rPr>
    </w:lvl>
  </w:abstractNum>
  <w:abstractNum w:abstractNumId="2">
    <w:nsid w:val="6CC457CD"/>
    <w:multiLevelType w:val="multilevel"/>
    <w:tmpl w:val="6CC457CD"/>
    <w:lvl w:ilvl="0" w:tentative="0">
      <w:start w:val="1"/>
      <w:numFmt w:val="bullet"/>
      <w:lvlText w:val=""/>
      <w:lvlJc w:val="left"/>
      <w:pPr>
        <w:tabs>
          <w:tab w:val="left" w:pos="0"/>
        </w:tabs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14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2C8"/>
    <w:rsid w:val="000A71E6"/>
    <w:rsid w:val="00103D2E"/>
    <w:rsid w:val="001100BE"/>
    <w:rsid w:val="00110128"/>
    <w:rsid w:val="0013169A"/>
    <w:rsid w:val="001401F3"/>
    <w:rsid w:val="001B240F"/>
    <w:rsid w:val="001C4C89"/>
    <w:rsid w:val="001C722B"/>
    <w:rsid w:val="00216603"/>
    <w:rsid w:val="00216E2A"/>
    <w:rsid w:val="00246C2B"/>
    <w:rsid w:val="00272781"/>
    <w:rsid w:val="002808ED"/>
    <w:rsid w:val="00284DB5"/>
    <w:rsid w:val="002C2566"/>
    <w:rsid w:val="00313FDF"/>
    <w:rsid w:val="00343180"/>
    <w:rsid w:val="0036608A"/>
    <w:rsid w:val="00384C26"/>
    <w:rsid w:val="003B3703"/>
    <w:rsid w:val="003C42F7"/>
    <w:rsid w:val="003D12EE"/>
    <w:rsid w:val="00410072"/>
    <w:rsid w:val="004206F3"/>
    <w:rsid w:val="004322FE"/>
    <w:rsid w:val="00483A28"/>
    <w:rsid w:val="004C191D"/>
    <w:rsid w:val="004F4711"/>
    <w:rsid w:val="004F7322"/>
    <w:rsid w:val="00524BC0"/>
    <w:rsid w:val="00583A41"/>
    <w:rsid w:val="00605C6C"/>
    <w:rsid w:val="00613BCB"/>
    <w:rsid w:val="0062363E"/>
    <w:rsid w:val="00625D65"/>
    <w:rsid w:val="00687BE6"/>
    <w:rsid w:val="00695C8C"/>
    <w:rsid w:val="006B42C8"/>
    <w:rsid w:val="00736416"/>
    <w:rsid w:val="0074642B"/>
    <w:rsid w:val="007617D4"/>
    <w:rsid w:val="007665C9"/>
    <w:rsid w:val="008021C6"/>
    <w:rsid w:val="00887E6F"/>
    <w:rsid w:val="008913F1"/>
    <w:rsid w:val="008C75FA"/>
    <w:rsid w:val="008F7C05"/>
    <w:rsid w:val="00924DB0"/>
    <w:rsid w:val="0092753B"/>
    <w:rsid w:val="009321AE"/>
    <w:rsid w:val="00935352"/>
    <w:rsid w:val="00950B08"/>
    <w:rsid w:val="00977FCD"/>
    <w:rsid w:val="009A1C5F"/>
    <w:rsid w:val="009B35D4"/>
    <w:rsid w:val="00A4750B"/>
    <w:rsid w:val="00A572B0"/>
    <w:rsid w:val="00A749CC"/>
    <w:rsid w:val="00A968F6"/>
    <w:rsid w:val="00AA0843"/>
    <w:rsid w:val="00AB343A"/>
    <w:rsid w:val="00AD4C45"/>
    <w:rsid w:val="00B32B3B"/>
    <w:rsid w:val="00B36237"/>
    <w:rsid w:val="00B41047"/>
    <w:rsid w:val="00B420F8"/>
    <w:rsid w:val="00B90CE2"/>
    <w:rsid w:val="00C40857"/>
    <w:rsid w:val="00C76C36"/>
    <w:rsid w:val="00C95DE5"/>
    <w:rsid w:val="00CC78E8"/>
    <w:rsid w:val="00CE33E0"/>
    <w:rsid w:val="00D02B84"/>
    <w:rsid w:val="00D37D0E"/>
    <w:rsid w:val="00D76854"/>
    <w:rsid w:val="00D97DA0"/>
    <w:rsid w:val="00DA32E6"/>
    <w:rsid w:val="00DC544A"/>
    <w:rsid w:val="00DC568A"/>
    <w:rsid w:val="00E20FDC"/>
    <w:rsid w:val="00EA2E42"/>
    <w:rsid w:val="00EC0577"/>
    <w:rsid w:val="00EC36E8"/>
    <w:rsid w:val="00EC6AA1"/>
    <w:rsid w:val="00EE2AC3"/>
    <w:rsid w:val="00EE3413"/>
    <w:rsid w:val="00F97F12"/>
    <w:rsid w:val="00FB6B9A"/>
    <w:rsid w:val="00FC7ECD"/>
    <w:rsid w:val="00FE308D"/>
    <w:rsid w:val="5C7D3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0" w:name="Table Web 3" w:locked="1"/>
    <w:lsdException w:qFormat="1" w:unhideWhenUsed="0" w:uiPriority="99" w:name="Balloon Text"/>
    <w:lsdException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qFormat/>
    <w:uiPriority w:val="99"/>
    <w:pPr>
      <w:jc w:val="left"/>
    </w:pPr>
    <w:rPr>
      <w:sz w:val="21"/>
      <w:szCs w:val="22"/>
    </w:rPr>
  </w:style>
  <w:style w:type="paragraph" w:styleId="3">
    <w:name w:val="Body Text Indent"/>
    <w:basedOn w:val="1"/>
    <w:link w:val="11"/>
    <w:qFormat/>
    <w:uiPriority w:val="99"/>
    <w:pPr>
      <w:spacing w:line="500" w:lineRule="exact"/>
      <w:ind w:left="832" w:leftChars="832" w:firstLine="196" w:firstLineChars="196"/>
    </w:pPr>
    <w:rPr>
      <w:kern w:val="0"/>
      <w:sz w:val="24"/>
      <w:szCs w:val="20"/>
    </w:rPr>
  </w:style>
  <w:style w:type="paragraph" w:styleId="4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/>
      <w:b/>
      <w:kern w:val="28"/>
      <w:szCs w:val="20"/>
    </w:rPr>
  </w:style>
  <w:style w:type="character" w:styleId="10">
    <w:name w:val="annotation reference"/>
    <w:basedOn w:val="9"/>
    <w:semiHidden/>
    <w:uiPriority w:val="99"/>
    <w:rPr>
      <w:rFonts w:cs="Times New Roman"/>
      <w:sz w:val="21"/>
      <w:szCs w:val="21"/>
    </w:rPr>
  </w:style>
  <w:style w:type="character" w:customStyle="1" w:styleId="11">
    <w:name w:val="正文文本缩进 Char"/>
    <w:basedOn w:val="9"/>
    <w:link w:val="3"/>
    <w:qFormat/>
    <w:locked/>
    <w:uiPriority w:val="99"/>
    <w:rPr>
      <w:rFonts w:ascii="Calibri" w:hAnsi="Calibri" w:eastAsia="宋体" w:cs="Times New Roman"/>
      <w:kern w:val="0"/>
      <w:sz w:val="20"/>
      <w:szCs w:val="20"/>
    </w:rPr>
  </w:style>
  <w:style w:type="character" w:customStyle="1" w:styleId="12">
    <w:name w:val="副标题 Char"/>
    <w:basedOn w:val="9"/>
    <w:link w:val="7"/>
    <w:locked/>
    <w:uiPriority w:val="99"/>
    <w:rPr>
      <w:rFonts w:ascii="Cambria" w:hAnsi="Cambria" w:eastAsia="宋体" w:cs="Times New Roman"/>
      <w:b/>
      <w:kern w:val="28"/>
      <w:sz w:val="20"/>
      <w:szCs w:val="20"/>
    </w:rPr>
  </w:style>
  <w:style w:type="character" w:customStyle="1" w:styleId="13">
    <w:name w:val="批注文字 Char"/>
    <w:basedOn w:val="9"/>
    <w:link w:val="2"/>
    <w:semiHidden/>
    <w:locked/>
    <w:uiPriority w:val="99"/>
    <w:rPr>
      <w:rFonts w:ascii="Calibri" w:hAnsi="Calibri" w:eastAsia="宋体" w:cs="Times New Roman"/>
    </w:rPr>
  </w:style>
  <w:style w:type="character" w:customStyle="1" w:styleId="14">
    <w:name w:val="批注框文本 Char"/>
    <w:basedOn w:val="9"/>
    <w:link w:val="4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眉 Char"/>
    <w:basedOn w:val="9"/>
    <w:link w:val="6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脚 Char"/>
    <w:basedOn w:val="9"/>
    <w:link w:val="5"/>
    <w:qFormat/>
    <w:locked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2375</Words>
  <Characters>2657</Characters>
  <Lines>19</Lines>
  <Paragraphs>5</Paragraphs>
  <TotalTime>6</TotalTime>
  <ScaleCrop>false</ScaleCrop>
  <LinksUpToDate>false</LinksUpToDate>
  <CharactersWithSpaces>2702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2025-02-28T01:13:00Z</dcterms:created>
  <dc:creator>Administrator</dc:creator>
  <cp:lastModifiedBy>Monica Jiang</cp:lastModifiedBy>
  <dcterms:modified xsi:type="dcterms:W3CDTF">2025-06-25T06:01:55Z</dcterms:modified>
  <dc:title>网络安全等级保护测评需求参数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1291CD915A0A401A90A02749C30F1FF0_13</vt:lpwstr>
  </property>
</Properties>
</file>